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rPr>
      </w:pPr>
      <w:r>
        <w:rPr>
          <w:rFonts w:hint="eastAsia" w:ascii="黑体" w:hAnsi="黑体" w:eastAsia="黑体" w:cs="黑体"/>
          <w:sz w:val="36"/>
          <w:szCs w:val="36"/>
        </w:rPr>
        <w:t>中联重科集团财务有限公司资本管理第三支柱202</w:t>
      </w:r>
      <w:r>
        <w:rPr>
          <w:rFonts w:hint="eastAsia" w:ascii="黑体" w:hAnsi="黑体" w:eastAsia="黑体" w:cs="黑体"/>
          <w:sz w:val="36"/>
          <w:szCs w:val="36"/>
          <w:lang w:val="en-US" w:eastAsia="zh-CN"/>
        </w:rPr>
        <w:t>4</w:t>
      </w:r>
      <w:r>
        <w:rPr>
          <w:rFonts w:hint="eastAsia" w:ascii="黑体" w:hAnsi="黑体" w:eastAsia="黑体" w:cs="黑体"/>
          <w:sz w:val="36"/>
          <w:szCs w:val="36"/>
        </w:rPr>
        <w:t>年第</w:t>
      </w:r>
      <w:r>
        <w:rPr>
          <w:rFonts w:hint="eastAsia" w:ascii="黑体" w:hAnsi="黑体" w:eastAsia="黑体" w:cs="黑体"/>
          <w:sz w:val="36"/>
          <w:szCs w:val="36"/>
          <w:lang w:val="en-US" w:eastAsia="zh-CN"/>
        </w:rPr>
        <w:t>二</w:t>
      </w:r>
      <w:r>
        <w:rPr>
          <w:rFonts w:hint="eastAsia" w:ascii="黑体" w:hAnsi="黑体" w:eastAsia="黑体" w:cs="黑体"/>
          <w:sz w:val="36"/>
          <w:szCs w:val="36"/>
        </w:rPr>
        <w:t>季度报告</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二季度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根据办法及通知，公司此次披露表格：监管并表关键审慎监管指标(KMI)和资本构成（CC1），2024年二季度公司需披露报表如下：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07"/>
        <w:gridCol w:w="1705"/>
        <w:gridCol w:w="1829"/>
        <w:gridCol w:w="184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2024年6月30日</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2024年3月31日</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238915.53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235372.03</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687533.71 </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539814.26</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43.60%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0" w:type="auto"/>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c>
          <w:tcPr>
            <w:tcW w:w="0" w:type="auto"/>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25.55%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34.42%</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1848712.09</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1289726.571</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0" w:type="auto"/>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0" w:type="auto"/>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0" w:type="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0" w:type="auto"/>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81.42%</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73.80%</w:t>
            </w:r>
          </w:p>
        </w:tc>
        <w:tc>
          <w:tcPr>
            <w:tcW w:w="0" w:type="auto"/>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CC1资本构成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4624"/>
        <w:gridCol w:w="1698"/>
        <w:gridCol w:w="17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000" w:type="pct"/>
            <w:gridSpan w:val="4"/>
            <w:tcBorders>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40"/>
                <w:szCs w:val="40"/>
                <w:u w:val="none"/>
                <w:lang w:val="en-US" w:eastAsia="zh-CN" w:bidi="ar"/>
              </w:rPr>
            </w:pPr>
            <w:r>
              <w:rPr>
                <w:rFonts w:hint="eastAsia" w:ascii="仿宋_GB2312" w:hAnsi="宋体" w:eastAsia="仿宋_GB2312" w:cs="仿宋_GB2312"/>
                <w:b/>
                <w:bCs/>
                <w:i w:val="0"/>
                <w:iCs w:val="0"/>
                <w:color w:val="000000"/>
                <w:kern w:val="0"/>
                <w:sz w:val="40"/>
                <w:szCs w:val="40"/>
                <w:u w:val="none"/>
                <w:lang w:val="en-US" w:eastAsia="zh-CN" w:bidi="ar"/>
              </w:rPr>
              <w:t>CC1资本构成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004" w:type="pct"/>
            <w:gridSpan w:val="2"/>
            <w:tcBorders>
              <w:top w:val="single" w:color="auto" w:sz="4" w:space="0"/>
              <w:bottom w:val="single" w:color="auto" w:sz="4" w:space="0"/>
              <w:right w:val="single" w:color="auto" w:sz="4"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2024年6月30日</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sz w:val="28"/>
                <w:szCs w:val="28"/>
                <w:u w:val="none"/>
                <w:lang w:val="en-US" w:eastAsia="zh-CN"/>
              </w:rPr>
              <w:t>2023年12月31日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004" w:type="pct"/>
            <w:gridSpan w:val="2"/>
            <w:tcBorders>
              <w:top w:val="single" w:color="auto" w:sz="4" w:space="0"/>
              <w:bottom w:val="single" w:color="auto" w:sz="4" w:space="0"/>
              <w:right w:val="single" w:color="auto" w:sz="4" w:space="0"/>
            </w:tcBorders>
            <w:shd w:val="clear" w:color="auto" w:fill="auto"/>
            <w:vAlign w:val="center"/>
          </w:tcPr>
          <w:p>
            <w:pPr>
              <w:jc w:val="both"/>
              <w:rPr>
                <w:rFonts w:hint="eastAsia" w:ascii="仿宋_GB2312" w:hAnsi="宋体" w:eastAsia="仿宋_GB2312" w:cs="仿宋_GB2312"/>
                <w:i w:val="0"/>
                <w:iCs w:val="0"/>
                <w:color w:val="000000"/>
                <w:sz w:val="28"/>
                <w:szCs w:val="28"/>
                <w:u w:val="none"/>
              </w:rPr>
            </w:pP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数额</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2"/>
                <w:sz w:val="28"/>
                <w:szCs w:val="28"/>
                <w:u w:val="none"/>
                <w:lang w:val="en-US" w:eastAsia="zh-CN" w:bidi="ar-SA"/>
              </w:rPr>
            </w:pPr>
            <w:r>
              <w:rPr>
                <w:rFonts w:hint="eastAsia" w:ascii="仿宋_GB2312" w:hAnsi="宋体" w:eastAsia="仿宋_GB2312" w:cs="仿宋_GB2312"/>
                <w:b/>
                <w:bCs/>
                <w:i w:val="0"/>
                <w:iCs w:val="0"/>
                <w:color w:val="000000"/>
                <w:kern w:val="0"/>
                <w:sz w:val="28"/>
                <w:szCs w:val="28"/>
                <w:u w:val="none"/>
                <w:lang w:val="en-US" w:eastAsia="zh-CN" w:bidi="ar"/>
              </w:rPr>
              <w:t>数额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核心一级资本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实收资本和资本公积可计入部分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150014.31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150014.31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留存收益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2a</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盈余公积</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7634.95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7582.96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2b</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一般风险准备</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20398.74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20398.74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2c</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未分配利润</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53867.58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47848.02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累计其他综合收益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扣除前的核心一级资本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231915.58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225844.03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核心一级资本：扣除项</w:t>
            </w:r>
            <w:r>
              <w:rPr>
                <w:rFonts w:hint="eastAsia" w:ascii="仿宋_GB2312" w:hAnsi="宋体" w:eastAsia="仿宋_GB2312" w:cs="仿宋_GB2312"/>
                <w:i w:val="0"/>
                <w:iCs w:val="0"/>
                <w:color w:val="000000"/>
                <w:kern w:val="0"/>
                <w:sz w:val="28"/>
                <w:szCs w:val="28"/>
                <w:u w:val="none"/>
                <w:lang w:val="en-US" w:eastAsia="zh-CN" w:bidi="ar"/>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审慎估值调整</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商誉（扣除递延税负债）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其他无形资产（土地使用权除外）（扣除递延税负债）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1222.13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依赖未来盈利的由经营亏损引起的净递延税资产</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对未按公允价值计量的项目进行套期形成的现金流储备</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损失准备缺口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资产证券化销售利得</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自身信用风险变化导致其负债公允价值变化带来的未实现损益</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确定受益类的养老金资产净额（扣除递延税负债）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直接或间接持有本银行的股票</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银行间或银行与其他金融机构间通过协议相互持有的核心一级资本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对未并表金融机构小额少数资本投资中的核心一级资本中应扣除金额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对未并表金融机构大额少数资本投资中的核心一级资本和其他依赖于银行未来盈利的净递延税资产的未扣除部分超过核心一级资本15%的应扣除金额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其中：应在对金融机构大额少数资本投资中扣除的金额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其中：应在其他依赖于银行未来盈利的净递延税资产中扣除的金额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其他应在核心一级资本中扣除的项目合计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应从其他一级资本和二级资本中扣除的未扣缺口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1222.13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651.18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230693.44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其他一级资本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其他一级资本工具及其溢价</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其中：权益部分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其中：负债部分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其他一级资本:扣除项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对未并表金融机构小额少数资本投资中的其他一级资本中应扣除金额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对未并表金融机构大额少数资本投资中的其他一级资本中应扣除金额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其他应在其他一级资本中扣除的项目合计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应从二级资本中扣除的未扣缺口</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一级资本净额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230693.44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225192.86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二级资本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二级资本工具及其溢价</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少数股东资本可计入部分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超额损失准备可计入部分</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扣除前的二级资本</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二级资本：扣除项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直接或间接持有的本银行的二级资本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银行间或银行与其他金融机构间通过协议相互持有的其他一级资本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对未并表金融机构小额少数资本投资中的二级资本中应扣除金额</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对未并表金融机构大额少数资本投资中的二级资本</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其他应在二级资本中扣除的项目合计</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二级资本扣除项总和</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二级资本净额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总资本净额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238915.53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234533.87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风险加权资产</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687533.71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778166.98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资本充足率和其他各级资本要求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核心一级资本充足率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34.75%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其他各级资本要求（%）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其中：储备资本要求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59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其中：逆周期资本要求</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0.00%</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60</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    其中：全球系统重要性银行或国内系统重要性银行附加资本要求</w:t>
            </w:r>
          </w:p>
        </w:tc>
        <w:tc>
          <w:tcPr>
            <w:tcW w:w="1698" w:type="dxa"/>
            <w:tcBorders>
              <w:top w:val="single" w:color="auto" w:sz="4" w:space="0"/>
              <w:left w:val="single" w:color="auto" w:sz="4" w:space="0"/>
              <w:bottom w:val="single" w:color="auto" w:sz="4" w:space="0"/>
              <w:right w:val="single" w:color="auto" w:sz="4" w:space="0"/>
            </w:tcBorders>
            <w:shd w:val="clear" w:color="auto" w:fill="BEBEBE"/>
            <w:vAlign w:val="center"/>
          </w:tcPr>
          <w:p>
            <w:pPr>
              <w:jc w:val="center"/>
              <w:rPr>
                <w:rFonts w:hint="eastAsia" w:ascii="仿宋_GB2312" w:hAnsi="宋体" w:eastAsia="仿宋_GB2312" w:cs="仿宋_GB2312"/>
                <w:i w:val="0"/>
                <w:iCs w:val="0"/>
                <w:color w:val="000000"/>
                <w:sz w:val="28"/>
                <w:szCs w:val="28"/>
                <w:u w:val="none"/>
              </w:rPr>
            </w:pPr>
          </w:p>
        </w:tc>
        <w:tc>
          <w:tcPr>
            <w:tcW w:w="999" w:type="pct"/>
            <w:tcBorders>
              <w:top w:val="single" w:color="auto" w:sz="4" w:space="0"/>
              <w:left w:val="single" w:color="auto" w:sz="4" w:space="0"/>
              <w:bottom w:val="single" w:color="auto" w:sz="4" w:space="0"/>
            </w:tcBorders>
            <w:shd w:val="clear" w:color="auto" w:fill="BEBEBE"/>
            <w:vAlign w:val="center"/>
          </w:tcPr>
          <w:p>
            <w:pPr>
              <w:jc w:val="center"/>
              <w:rPr>
                <w:rFonts w:hint="eastAsia" w:ascii="仿宋_GB2312" w:hAnsi="宋体" w:eastAsia="仿宋_GB2312" w:cs="仿宋_GB2312"/>
                <w:i w:val="0"/>
                <w:iCs w:val="0"/>
                <w:color w:val="000000"/>
                <w:sz w:val="28"/>
                <w:szCs w:val="28"/>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61</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满足最低资本要求后的可用核心一级资本净额占风险加权资产的比例（%）</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25.55%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20.94%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我国最低监管资本要求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62</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核心一级资本充足率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63</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一级资本充足率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33.55%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28.94%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64</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资本充足率</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34.75%</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门槛扣除项中未扣除部分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65</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对未并表金融机构的小额少数资本投资中未扣除部分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66</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对未并表金融机构的大额少数资本投资中未扣除部分</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67</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其他依赖于银行未来盈利的净递延税资产（扣除递延税负债）</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4"/>
            <w:tcBorders>
              <w:top w:val="single" w:color="auto" w:sz="4" w:space="0"/>
              <w:bottom w:val="single" w:color="auto" w:sz="4"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kern w:val="0"/>
                <w:sz w:val="28"/>
                <w:szCs w:val="28"/>
                <w:u w:val="none"/>
                <w:lang w:val="en-US" w:eastAsia="zh-CN" w:bidi="ar"/>
              </w:rPr>
            </w:pPr>
            <w:r>
              <w:rPr>
                <w:rFonts w:hint="eastAsia" w:ascii="仿宋_GB2312" w:hAnsi="宋体" w:eastAsia="仿宋_GB2312" w:cs="仿宋_GB2312"/>
                <w:b/>
                <w:bCs/>
                <w:i w:val="0"/>
                <w:iCs w:val="0"/>
                <w:color w:val="000000"/>
                <w:kern w:val="0"/>
                <w:sz w:val="28"/>
                <w:szCs w:val="28"/>
                <w:u w:val="none"/>
                <w:lang w:val="en-US" w:eastAsia="zh-CN" w:bidi="ar"/>
              </w:rPr>
              <w:t>可计入二级资本的超额损失准备的限额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68</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权重法下，实际计提的超额损失准备金额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11601.01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13391.12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91" w:type="pct"/>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69</w:t>
            </w:r>
          </w:p>
        </w:tc>
        <w:tc>
          <w:tcPr>
            <w:tcW w:w="2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权重法下，可计入二级资本超额损失准备的数额</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 xml:space="preserve">8222.08 </w:t>
            </w:r>
          </w:p>
        </w:tc>
        <w:tc>
          <w:tcPr>
            <w:tcW w:w="999" w:type="pct"/>
            <w:tcBorders>
              <w:top w:val="single" w:color="auto" w:sz="4" w:space="0"/>
              <w:left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8"/>
                <w:szCs w:val="28"/>
                <w:u w:val="none"/>
                <w:lang w:val="en-US" w:eastAsia="zh-CN" w:bidi="ar"/>
              </w:rPr>
              <w:t xml:space="preserve">9341.01 </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根据《商业银行流动性风险管理办法》，《KMI监管并表关键审慎监管指标》中15-20项内容涉及的流动性覆盖率、净稳定资金比例为资产规模不小于2000亿元人民币的商业银行应达到的监管指标，本公司不适用。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季度资本充足率、杠杆率较</w:t>
      </w:r>
      <w:r>
        <w:rPr>
          <w:rFonts w:hint="eastAsia" w:ascii="仿宋_GB2312" w:hAnsi="仿宋_GB2312" w:eastAsia="仿宋_GB2312" w:cs="仿宋_GB2312"/>
          <w:sz w:val="32"/>
          <w:szCs w:val="32"/>
          <w:lang w:val="en-US" w:eastAsia="zh-CN"/>
        </w:rPr>
        <w:t>一季度下降</w:t>
      </w:r>
      <w:r>
        <w:rPr>
          <w:rFonts w:hint="default" w:ascii="仿宋_GB2312" w:hAnsi="仿宋_GB2312" w:eastAsia="仿宋_GB2312" w:cs="仿宋_GB2312"/>
          <w:sz w:val="32"/>
          <w:szCs w:val="32"/>
          <w:lang w:val="en-US" w:eastAsia="zh-CN"/>
        </w:rPr>
        <w:t>主要因公司贷款和存放同业规模</w:t>
      </w:r>
      <w:r>
        <w:rPr>
          <w:rFonts w:hint="eastAsia" w:ascii="仿宋_GB2312" w:hAnsi="仿宋_GB2312" w:eastAsia="仿宋_GB2312" w:cs="仿宋_GB2312"/>
          <w:sz w:val="32"/>
          <w:szCs w:val="32"/>
          <w:lang w:val="en-US" w:eastAsia="zh-CN"/>
        </w:rPr>
        <w:t>上升</w:t>
      </w:r>
      <w:r>
        <w:rPr>
          <w:rFonts w:hint="default" w:ascii="仿宋_GB2312" w:hAnsi="仿宋_GB2312" w:eastAsia="仿宋_GB2312" w:cs="仿宋_GB2312"/>
          <w:sz w:val="32"/>
          <w:szCs w:val="32"/>
          <w:lang w:val="en-US" w:eastAsia="zh-CN"/>
        </w:rPr>
        <w:t>所致。</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季度资本充足率</w:t>
      </w:r>
      <w:r>
        <w:rPr>
          <w:rFonts w:hint="eastAsia" w:ascii="仿宋_GB2312" w:hAnsi="仿宋_GB2312" w:eastAsia="仿宋_GB2312" w:cs="仿宋_GB2312"/>
          <w:sz w:val="32"/>
          <w:szCs w:val="32"/>
          <w:lang w:val="en-US" w:eastAsia="zh-CN"/>
        </w:rPr>
        <w:t>较年初上升主要因公司贷款及承兑业务规模下降所致。</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